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77777777" w:rsidR="008D23A7" w:rsidRPr="00583E0B" w:rsidRDefault="008D23A7" w:rsidP="009A7D95">
      <w:pPr>
        <w:widowControl/>
        <w:spacing w:before="120" w:after="120"/>
      </w:pPr>
      <w:r>
        <w:rPr>
          <w:sz w:val="20"/>
          <w:szCs w:val="20"/>
        </w:rPr>
        <w:t xml:space="preserve">(Только для </w:t>
      </w:r>
      <w:r>
        <w:rPr>
          <w:rFonts w:eastAsia="Times New Roman"/>
          <w:sz w:val="20"/>
          <w:szCs w:val="20"/>
        </w:rPr>
        <w:t>Программы платного лицензирования для независимых поставщиков программного обеспечения</w:t>
      </w:r>
      <w:r>
        <w:rPr>
          <w:sz w:val="20"/>
          <w:szCs w:val="20"/>
        </w:rPr>
        <w:t xml:space="preserve"> (ISV))</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514CFE13" w:rsidR="008D23A7" w:rsidRPr="008F5F6B" w:rsidRDefault="008D23A7" w:rsidP="001A49C5">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A46E49">
              <w:rPr>
                <w:b/>
                <w:bCs/>
                <w:szCs w:val="20"/>
                <w:lang w:val="en-US"/>
              </w:rPr>
              <w:t>Access</w:t>
            </w:r>
            <w:r>
              <w:rPr>
                <w:b/>
                <w:bCs/>
                <w:szCs w:val="20"/>
                <w:vertAlign w:val="superscript"/>
              </w:rPr>
              <w:t>®</w:t>
            </w:r>
            <w:bookmarkEnd w:id="2"/>
            <w:r>
              <w:rPr>
                <w:b/>
                <w:bCs/>
                <w:szCs w:val="20"/>
              </w:rPr>
              <w:t xml:space="preserve"> </w:t>
            </w:r>
            <w:r w:rsidR="009A7FF1">
              <w:rPr>
                <w:b/>
                <w:bCs/>
                <w:szCs w:val="20"/>
                <w:lang w:val="en-US"/>
              </w:rPr>
              <w:t>LTSC 2021</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fldChar w:fldCharType="end"/>
            </w:r>
            <w:bookmarkEnd w:id="3"/>
            <w:r w:rsidR="001A49C5" w:rsidRPr="001E6FD1">
              <w:rPr>
                <w:b/>
                <w:bCs/>
                <w:szCs w:val="20"/>
                <w:vertAlign w:val="superscript"/>
              </w:rPr>
              <w:footnoteReference w:id="2"/>
            </w:r>
            <w:r w:rsidR="001A49C5" w:rsidRPr="008F5F6B">
              <w:t xml:space="preserve"> </w:t>
            </w:r>
            <w:r w:rsidR="00D01415" w:rsidRPr="00D01415">
              <w:rPr>
                <w:b/>
              </w:rPr>
              <w:t xml:space="preserve">Выпуск </w:t>
            </w:r>
            <w:r w:rsidR="001A49C5"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1A49C5">
        <w:trPr>
          <w:trHeight w:val="801"/>
        </w:trPr>
        <w:tc>
          <w:tcPr>
            <w:tcW w:w="9540" w:type="dxa"/>
          </w:tcPr>
          <w:p w14:paraId="79D60E2E" w14:textId="7E5AB20B" w:rsidR="008D23A7" w:rsidRPr="001A49C5" w:rsidRDefault="008D23A7" w:rsidP="009A7D95">
            <w:pPr>
              <w:pStyle w:val="LicenseNumberChar"/>
              <w:spacing w:before="120" w:after="120"/>
              <w:rPr>
                <w:lang w:val="en-US"/>
              </w:rPr>
            </w:pPr>
            <w:r>
              <w:rPr>
                <w:sz w:val="24"/>
                <w:szCs w:val="20"/>
              </w:rPr>
              <w:t xml:space="preserve">Лицензии: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1A49C5"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1A49C5">
        <w:trPr>
          <w:trHeight w:val="58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ЛИЦЕНЗИОННОЕ СОГЛАШЕНИЕ С КОНЕЧНЫМ ПОЛЬЗОВАТЕЛЕМ</w:t>
            </w:r>
          </w:p>
        </w:tc>
      </w:tr>
    </w:tbl>
    <w:p w14:paraId="07ECB1DC" w14:textId="786A1F1A" w:rsidR="00FD75BC" w:rsidRPr="00583E0B" w:rsidRDefault="00FD75BC" w:rsidP="009A7D95">
      <w:pPr>
        <w:spacing w:before="120" w:after="120"/>
      </w:pPr>
      <w:r>
        <w:rPr>
          <w:b/>
          <w:sz w:val="20"/>
          <w:szCs w:val="20"/>
        </w:rPr>
        <w:t xml:space="preserve">ЕСЛИ МЕСТОМ ВАШЕГО ПРОЖИВАНИЯ </w:t>
      </w:r>
      <w:r>
        <w:rPr>
          <w:b/>
          <w:bCs/>
          <w:sz w:val="20"/>
          <w:szCs w:val="20"/>
        </w:rPr>
        <w:t xml:space="preserve">(ИЛИ ВАШИМ ОСНОВНЫМ МЕСТОМ ОСУЩЕСТВЛЕНИЯ ХОЗЯЙСТВЕННОЙ ДЕЯТЕЛЬНОСТИ) </w:t>
      </w:r>
      <w:r>
        <w:rPr>
          <w:b/>
          <w:sz w:val="20"/>
          <w:szCs w:val="20"/>
        </w:rPr>
        <w:t>ЯВЛЯЮТСЯ СОЕДИНЕННЫЕ ШТАТЫ АМЕРИКИ, ПРОЧТИТЕ ПОЛОЖЕНИЕ ОБ ОБЯЗАТЕЛЬНОМ АРБИТРАЖЕ И ОТКАЗ ОТ ГРУППОВОГО ИСКА В СТАТЬЕ 8. ЭТИ ПУНКТЫ СОГЛАШЕНИЯ ВЛИЯЮТ НА ПОРЯДОК РАЗРЕШЕНИЯ СПОРОВ С ЛИЦЕНЗИАРОМ И MICROSOFT.</w:t>
      </w:r>
    </w:p>
    <w:p w14:paraId="409C2007" w14:textId="6CE76F30" w:rsidR="00FD2E77" w:rsidRPr="00583E0B" w:rsidRDefault="00FD75BC" w:rsidP="009A7D95">
      <w:pPr>
        <w:spacing w:before="120" w:after="120"/>
      </w:pPr>
      <w:r>
        <w:rPr>
          <w:b/>
          <w:sz w:val="20"/>
          <w:szCs w:val="20"/>
        </w:rPr>
        <w:t xml:space="preserve">Спасибо за выбор приложения, в которое включен пакет Microsoft </w:t>
      </w:r>
      <w:r w:rsidR="00A46E49">
        <w:rPr>
          <w:b/>
          <w:sz w:val="20"/>
          <w:szCs w:val="20"/>
          <w:lang w:val="en-US"/>
        </w:rPr>
        <w:t>Access</w:t>
      </w:r>
      <w:r>
        <w:rPr>
          <w:b/>
          <w:sz w:val="20"/>
          <w:szCs w:val="20"/>
        </w:rPr>
        <w:t>.</w:t>
      </w:r>
    </w:p>
    <w:p w14:paraId="7B2F7569" w14:textId="2704D9C8" w:rsidR="00746776" w:rsidRPr="00583E0B" w:rsidRDefault="00FD4666" w:rsidP="009A7D95">
      <w:pPr>
        <w:spacing w:before="120" w:after="120"/>
      </w:pPr>
      <w:r>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14:paraId="2961AE9D" w14:textId="71DF4200" w:rsidR="0000160A" w:rsidRPr="00583E0B" w:rsidRDefault="0000160A" w:rsidP="009A7D95">
      <w:pPr>
        <w:spacing w:before="120" w:after="120"/>
      </w:pPr>
      <w:r>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A46E49">
        <w:rPr>
          <w:sz w:val="20"/>
          <w:szCs w:val="20"/>
          <w:lang w:val="en-US"/>
        </w:rPr>
        <w:t>Access</w:t>
      </w:r>
      <w:r>
        <w:rPr>
          <w:sz w:val="20"/>
          <w:szCs w:val="20"/>
        </w:rPr>
        <w:t xml:space="preserve">. Изучите полное соглашение, в том числе </w:t>
      </w:r>
      <w:r>
        <w:rPr>
          <w:bCs/>
          <w:sz w:val="20"/>
          <w:szCs w:val="20"/>
        </w:rPr>
        <w:t xml:space="preserve">какие-либо дополнительные условия лицензии, которые могут сопровождать программное обеспечение, и </w:t>
      </w:r>
      <w:r>
        <w:rPr>
          <w:sz w:val="20"/>
          <w:szCs w:val="20"/>
        </w:rPr>
        <w:t>какие-либо условия, включенные путем ссылки, поскольку все условия важны и вместе составляют настоящее соглашение, применимое к вам. Вы можете переходить к условиям, связанным ссылками, вставляя через буфер обмена применимые ссылки в окно браузера.</w:t>
      </w:r>
    </w:p>
    <w:p w14:paraId="471601CE" w14:textId="52C3AD0E" w:rsidR="00D23716" w:rsidRPr="00583E0B" w:rsidRDefault="00D23716" w:rsidP="00E90BA0">
      <w:pPr>
        <w:spacing w:before="120" w:after="120"/>
        <w:ind w:right="90"/>
      </w:pPr>
      <w:r>
        <w:rPr>
          <w:b/>
          <w:bCs/>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Майкрософт о конфиденциальности, изложенным в статье </w:t>
      </w:r>
      <w:r>
        <w:rPr>
          <w:b/>
          <w:sz w:val="20"/>
          <w:szCs w:val="20"/>
        </w:rPr>
        <w:t>4</w:t>
      </w:r>
      <w:r>
        <w:rPr>
          <w:b/>
          <w:bCs/>
          <w:sz w:val="20"/>
          <w:szCs w:val="20"/>
        </w:rPr>
        <w:t xml:space="preserve">. Если вы не принимаете и не выполняете настоящие условия, вы не имеете право использовать данное программное обеспечение или его возможности. </w:t>
      </w:r>
      <w:r>
        <w:rPr>
          <w:bCs/>
          <w:sz w:val="20"/>
          <w:szCs w:val="20"/>
        </w:rPr>
        <w:t>Вы можете обратиться по месту приобретения лицензии на программное обеспечение, чтобы выяснить условия возврата и вернуть программное обеспечение, при этом в соответствии с данными условиями вам возместят его стоимость или эквивалентная сумма будет зачислена на ваш счет.</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lastRenderedPageBreak/>
        <w:t>ОБЗОР.</w:t>
      </w:r>
    </w:p>
    <w:p w14:paraId="692B3DEC" w14:textId="34935FF9"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Применимость. </w:t>
      </w:r>
      <w:r>
        <w:rPr>
          <w:bCs/>
          <w:sz w:val="20"/>
          <w:szCs w:val="20"/>
        </w:rPr>
        <w:t xml:space="preserve">Настоящее соглашение применяется к программному обеспечению Microsoft </w:t>
      </w:r>
      <w:r w:rsidR="00A46E49">
        <w:rPr>
          <w:bCs/>
          <w:sz w:val="20"/>
          <w:szCs w:val="20"/>
          <w:lang w:val="en-US"/>
        </w:rPr>
        <w:t>Access</w:t>
      </w:r>
      <w:r>
        <w:rPr>
          <w:bCs/>
          <w:sz w:val="20"/>
          <w:szCs w:val="20"/>
        </w:rPr>
        <w:t>,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Дополнительные условия. </w:t>
      </w:r>
      <w:r>
        <w:rPr>
          <w:bCs/>
          <w:sz w:val="20"/>
          <w:szCs w:val="20"/>
        </w:rPr>
        <w:t>К использованию вами определенных функций, служб и приложений могут применяться дополнительные условия Microsoft и третьих лиц. Обязательно прочтите их.</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Microsoft, размещенным по адресу </w:t>
      </w:r>
      <w:r>
        <w:rPr>
          <w:color w:val="000000" w:themeColor="text1"/>
          <w:sz w:val="20"/>
          <w:szCs w:val="20"/>
        </w:rPr>
        <w:t>(</w:t>
      </w:r>
      <w:hyperlink r:id="rId11" w:history="1">
        <w:r>
          <w:rPr>
            <w:rStyle w:val="Hyperlink"/>
            <w:bCs/>
            <w:sz w:val="20"/>
            <w:szCs w:val="20"/>
          </w:rPr>
          <w:t>aka.ms/msa</w:t>
        </w:r>
      </w:hyperlink>
      <w:r>
        <w:rPr>
          <w:bCs/>
          <w:sz w:val="20"/>
          <w:szCs w:val="20"/>
        </w:rPr>
        <w:t>). Эти условия и политику можно просмотреть в применимых условиях использования службы. Эти службы могут быть доступны не во всех регионах.</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Программное обеспечение может содержать программы третьих лиц, которые в рамках настоящего соглашения предоставляются вам по лицензии Microsoft, а не третьим лицом. Уведомления (при наличии), касающиеся программы третьего лица, включаются только для информации.</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в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4"/>
    <w:bookmarkEnd w:id="5"/>
    <w:bookmarkEnd w:id="6"/>
    <w:p w14:paraId="2A90F224" w14:textId="76F906B4"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ПРАВА НА УСТАНОВКУ И ИСПОЛЬЗОВАНИЕ</w:t>
      </w:r>
      <w:r w:rsidR="008F5F6B" w:rsidRPr="008F5F6B">
        <w:rPr>
          <w:b/>
          <w:bCs/>
          <w:sz w:val="20"/>
          <w:szCs w:val="20"/>
        </w:rPr>
        <w:t>.</w:t>
      </w:r>
    </w:p>
    <w:p w14:paraId="26ECB5AD" w14:textId="55F39211" w:rsidR="00482AB8" w:rsidRPr="001A49C5" w:rsidRDefault="00AC5420" w:rsidP="009A7D95">
      <w:pPr>
        <w:pStyle w:val="ListParagraph"/>
        <w:numPr>
          <w:ilvl w:val="1"/>
          <w:numId w:val="12"/>
        </w:numPr>
        <w:tabs>
          <w:tab w:val="left" w:pos="720"/>
        </w:tabs>
        <w:spacing w:before="120" w:after="120"/>
        <w:ind w:left="720"/>
        <w:contextualSpacing w:val="0"/>
        <w:rPr>
          <w:spacing w:val="-2"/>
        </w:rPr>
      </w:pPr>
      <w:r w:rsidRPr="001A49C5">
        <w:rPr>
          <w:b/>
          <w:bCs/>
          <w:spacing w:val="-2"/>
          <w:sz w:val="20"/>
          <w:szCs w:val="20"/>
        </w:rPr>
        <w:t>Лицензия.</w:t>
      </w:r>
      <w:r w:rsidRPr="001A49C5">
        <w:rPr>
          <w:spacing w:val="-2"/>
          <w:sz w:val="20"/>
          <w:szCs w:val="20"/>
        </w:rPr>
        <w:t xml:space="preserve"> </w:t>
      </w:r>
      <w:r w:rsidRPr="001A49C5">
        <w:rPr>
          <w:bCs/>
          <w:spacing w:val="-2"/>
          <w:sz w:val="20"/>
          <w:szCs w:val="20"/>
        </w:rPr>
        <w:t>Программное обеспечение не продается, а предоставляется в пользование по лицензии</w:t>
      </w:r>
      <w:r w:rsidRPr="001A49C5">
        <w:rPr>
          <w:spacing w:val="-2"/>
          <w:sz w:val="20"/>
          <w:szCs w:val="20"/>
        </w:rPr>
        <w:t xml:space="preserve">. </w:t>
      </w:r>
      <w:r w:rsidRPr="001A49C5">
        <w:rPr>
          <w:bCs/>
          <w:spacing w:val="-2"/>
          <w:sz w:val="20"/>
          <w:szCs w:val="20"/>
        </w:rPr>
        <w:t xml:space="preserve">В соответствии с настоящим соглашением мы предоставляем право на установку и запуск одного экземпляра программного обеспечения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статьях </w:t>
      </w:r>
      <w:r w:rsidRPr="001A49C5">
        <w:rPr>
          <w:spacing w:val="-2"/>
          <w:sz w:val="20"/>
          <w:szCs w:val="20"/>
        </w:rPr>
        <w:t>11-13</w:t>
      </w:r>
      <w:r w:rsidRPr="001A49C5">
        <w:rPr>
          <w:bCs/>
          <w:spacing w:val="-2"/>
          <w:sz w:val="20"/>
          <w:szCs w:val="20"/>
        </w:rPr>
        <w:t xml:space="preserve"> ниже, приводится информация о лицензиях и условиях, относящихся к версиям с ограниченными правами, </w:t>
      </w:r>
      <w:r w:rsidRPr="001A49C5">
        <w:rPr>
          <w:spacing w:val="-2"/>
          <w:sz w:val="20"/>
          <w:szCs w:val="20"/>
        </w:rPr>
        <w:t>некоторым географическим регионам и специальным выпускам</w:t>
      </w:r>
      <w:r w:rsidRPr="001A49C5">
        <w:rPr>
          <w:bCs/>
          <w:spacing w:val="-2"/>
          <w:sz w:val="20"/>
          <w:szCs w:val="20"/>
        </w:rPr>
        <w:t xml:space="preserve"> программного обеспечения. Обновление программного обеспечения с неподтвержденной подлинностью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Устройство.</w:t>
      </w:r>
      <w:r>
        <w:rPr>
          <w:bCs/>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Ограничения. </w:t>
      </w:r>
      <w:r>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14:paraId="13D284B1" w14:textId="3E382EB3" w:rsidR="00D92549" w:rsidRPr="00543D60" w:rsidRDefault="00AA6007" w:rsidP="009A7D95">
      <w:pPr>
        <w:pStyle w:val="ListParagraph"/>
        <w:numPr>
          <w:ilvl w:val="2"/>
          <w:numId w:val="12"/>
        </w:numPr>
        <w:tabs>
          <w:tab w:val="left" w:pos="1080"/>
        </w:tabs>
        <w:spacing w:before="120" w:after="120"/>
        <w:ind w:left="1080" w:hanging="360"/>
        <w:contextualSpacing w:val="0"/>
        <w:rPr>
          <w:spacing w:val="-2"/>
        </w:rPr>
      </w:pPr>
      <w:r w:rsidRPr="00543D60">
        <w:rPr>
          <w:spacing w:val="-2"/>
          <w:sz w:val="20"/>
          <w:szCs w:val="20"/>
        </w:rPr>
        <w:t>использовать или виртуализировать функции программного обеспечения по отдельности;</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публиковать или копировать программное обеспечение, предоставлять его в прокат, в аренду или во временное пользование;</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lastRenderedPageBreak/>
        <w:t>передавать программное обеспечение (за исключением случаев, когда это разрешено настоящим соглашением);</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обходить какие-либо технические ограничения в программном обеспечении;</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использовать программное обеспечение как серверное программное обеспечение для оказания сетевых услуг на коммерческой основе, предоставлять программное 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Сценарии для нескольких пользователей.</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Несколько версий.</w:t>
      </w:r>
      <w:r>
        <w:rPr>
          <w:sz w:val="20"/>
          <w:szCs w:val="20"/>
        </w:rPr>
        <w:t xml:space="preserve"> Если в момент приобретения программного обеспечения вам предоставили несколько версий (например, 32- и 64-разрядную версии), вы можете одновременно установить и активировать только одну из этих версий.</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Множественные или объединенные подключения.</w:t>
      </w:r>
      <w:r>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 опосредованно с помощью лицензированного компьютера.</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Использование в виртуализованной среде.</w:t>
      </w:r>
      <w:r>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Удаленный доступ.</w:t>
      </w:r>
      <w:r>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Удаленный помощник.</w:t>
      </w:r>
      <w:r>
        <w:rPr>
          <w:sz w:val="20"/>
          <w:szCs w:val="20"/>
        </w:rPr>
        <w:t xml:space="preserve"> Вы можете использовать технологии функции удаленного помощника для доступа к активному сеансу без необходимости получать какие-либо дополнительные лицензии на это программное обеспечение. Функция удаленного помощника позволяет одному пользователю подключиться непосредственно к устройству другого пользователя, как правило, для устранения проблем.</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lastRenderedPageBreak/>
        <w:t xml:space="preserve">Резервная копия. </w:t>
      </w:r>
      <w:r>
        <w:rPr>
          <w:sz w:val="20"/>
          <w:szCs w:val="20"/>
        </w:rPr>
        <w:t>Вы имеете право загрузить резервную копию программного обеспечения по адресу (office.com/backup) и использовать ее для передачи этого программного обеспечения, как указано ниже. Право на резервную копию не распространяется на программное обеспечение, полученное по Программе использования ПО на домашних компьютерах (см. статью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ПЕРЕДАЧА ТРЕТЬЕМУ ЛИЦУ. </w:t>
      </w:r>
      <w:r>
        <w:rPr>
          <w:bCs/>
          <w:sz w:val="20"/>
          <w:szCs w:val="20"/>
        </w:rPr>
        <w:t>Положения этой статьи не применяются, если вы приобрели программное обеспечение в Европейской экономической зоне (EEA) и только передаете его другому физическому или юридическому лицу, находящемуся на территории Европейской экономической зоны. В этом случае какая-либо передача программного обеспечения,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а также право на его использование должны соответствовать применимому праву.</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Вы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 и (iii) если передача программного обеспечения и лицензии входит в состав передачи Единого решения, поставленного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КОНФИДЕНЦИАЛЬНОСТЬ, СОГЛАСИЕ НА ИСПОЛЬЗОВАНИЕ ДАННЫХ.</w:t>
      </w:r>
      <w:r>
        <w:rPr>
          <w:bCs/>
          <w:sz w:val="20"/>
          <w:szCs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Многие из этих функций могут быть включены или отключены в интерфейсе пользователя, или вы можете решить не использовать их. Принимая условия настоящего соглашения и используя программное обеспечение вы соглашаетесь, что Microsoft может собирать, использовать и раскрывать информацию, как описано в Заявлении Майкрософт о конфиденциальности, размещенном по адресу </w:t>
      </w:r>
      <w:r>
        <w:rPr>
          <w:sz w:val="20"/>
          <w:szCs w:val="20"/>
        </w:rPr>
        <w:t>(</w:t>
      </w:r>
      <w:hyperlink r:id="rId12" w:history="1">
        <w:r>
          <w:rPr>
            <w:rStyle w:val="Hyperlink"/>
            <w:sz w:val="20"/>
            <w:szCs w:val="20"/>
          </w:rPr>
          <w:t>aka.ms/privacy</w:t>
        </w:r>
      </w:hyperlink>
      <w:r>
        <w:rPr>
          <w:sz w:val="20"/>
          <w:szCs w:val="20"/>
        </w:rPr>
        <w:t>) и может быть описано в интерфейсе пользователя, связанном с этими функциями программного обеспечения</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АВТОРИЗОВАННОЕ ПРОГРАММНОЕ ОБЕСПЕЧЕНИЕ И АКТИВАЦИЯ.</w:t>
      </w:r>
      <w:r>
        <w:rPr>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В зависимости от вашего географического местоположения у вас также может быть возможность </w:t>
      </w:r>
      <w:r>
        <w:rPr>
          <w:sz w:val="20"/>
          <w:szCs w:val="20"/>
        </w:rPr>
        <w:lastRenderedPageBreak/>
        <w:t>активировать программное обеспечение вручную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 случае активации программного обеспечения через Интернет в дальнейшем может периодически требоваться подключаться к Интернету во время использования программного обеспечения с целью подтверждения того, что лицензия связана с лицензированным устройством, и если к Интернету не подключиться, то программное обеспечение может перейти в режим ограниченной функциональности.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ОБНОВЛЕНИЯ. </w:t>
      </w:r>
      <w:r>
        <w:rPr>
          <w:bCs/>
          <w:sz w:val="20"/>
          <w:szCs w:val="20"/>
        </w:rPr>
        <w:t xml:space="preserve">Программное обеспечение периодически проверяет наличие обновлений, загружает и устанавливает их для вас. </w:t>
      </w:r>
      <w:r>
        <w:rPr>
          <w:sz w:val="20"/>
          <w:szCs w:val="20"/>
        </w:rPr>
        <w:t xml:space="preserve">Вы можете получать обновления только от Microsoft или из авторизованных источников. </w:t>
      </w:r>
      <w:r>
        <w:rPr>
          <w:bCs/>
          <w:sz w:val="20"/>
          <w:szCs w:val="20"/>
        </w:rPr>
        <w:t>Принимая настоящее соглашение, вы соглашаетесь получать такие автоматические обновления без какого-либо дополнительного уведомления.</w:t>
      </w:r>
    </w:p>
    <w:p w14:paraId="7EBE76B0" w14:textId="38239772" w:rsidR="00885545" w:rsidRPr="001A49C5" w:rsidRDefault="00885545"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РЕГИОНАЛЬНЫЕ И ЭКСПОРТНЫЕ ОГРАНИЧЕНИЯ. </w:t>
      </w:r>
      <w:r w:rsidRPr="001A49C5">
        <w:rPr>
          <w:bCs/>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об ограничениях на экспорт см. по ссылке (</w:t>
      </w:r>
      <w:hyperlink r:id="rId13" w:history="1">
        <w:r w:rsidRPr="001A49C5">
          <w:rPr>
            <w:rStyle w:val="Hyperlink"/>
            <w:bCs/>
            <w:spacing w:val="-2"/>
            <w:sz w:val="20"/>
            <w:szCs w:val="20"/>
          </w:rPr>
          <w:t>aka.ms/exporting</w:t>
        </w:r>
      </w:hyperlink>
      <w:r w:rsidRPr="001A49C5">
        <w:rPr>
          <w:bCs/>
          <w:spacing w:val="-2"/>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ОБЯЗАТЕЛЬНЫЙ АРБИТРАЖ И ОТКАЗ ОТ ГРУППОВОГО ИСКА. </w:t>
      </w:r>
      <w:r>
        <w:rPr>
          <w:bCs/>
          <w:sz w:val="20"/>
          <w:szCs w:val="20"/>
        </w:rPr>
        <w:t>Настоящая статья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Эта статья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14:paraId="781B3289" w14:textId="36BBFE33" w:rsidR="000936BD" w:rsidRPr="00A61F32" w:rsidRDefault="00871D65" w:rsidP="00A81A11">
      <w:pPr>
        <w:spacing w:before="120" w:after="120"/>
        <w:ind w:left="360"/>
      </w:pPr>
      <w:r w:rsidRPr="00A61F32">
        <w:rPr>
          <w:sz w:val="20"/>
          <w:szCs w:val="20"/>
        </w:rPr>
        <w:t>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w:t>
      </w:r>
      <w:r w:rsidR="00A81A11">
        <w:rPr>
          <w:sz w:val="20"/>
          <w:szCs w:val="20"/>
          <w:lang w:val="en-US"/>
        </w:rPr>
        <w:t> </w:t>
      </w:r>
      <w:r w:rsidRPr="00A61F32">
        <w:rPr>
          <w:sz w:val="20"/>
          <w:szCs w:val="20"/>
        </w:rPr>
        <w:t xml:space="preserve">достигнуть не удается, вы и лицензиар соглашаетесь провести </w:t>
      </w:r>
      <w:r w:rsidRPr="00A61F32">
        <w:rPr>
          <w:b/>
          <w:sz w:val="20"/>
          <w:szCs w:val="20"/>
        </w:rPr>
        <w:t>обязательный индивидуальный арбитраж в Американской арбитражной ассоциации («AAA») в</w:t>
      </w:r>
      <w:r w:rsidR="00A61F32">
        <w:rPr>
          <w:b/>
          <w:sz w:val="20"/>
          <w:szCs w:val="20"/>
          <w:lang w:val="en-US"/>
        </w:rPr>
        <w:t> </w:t>
      </w:r>
      <w:r w:rsidRPr="00A61F32">
        <w:rPr>
          <w:b/>
          <w:sz w:val="20"/>
          <w:szCs w:val="20"/>
        </w:rPr>
        <w:t>соответствии с Федеральным арбитражным актом («FAA»). Вы соглашаетесь не подавать иск в суде одного судьи или суде присяжных</w:t>
      </w:r>
      <w:r w:rsidRPr="00A61F32">
        <w:rPr>
          <w:sz w:val="20"/>
          <w:szCs w:val="20"/>
        </w:rPr>
        <w:t xml:space="preserve">. Вместо этого спор должен разрешаться нейтральным арбитражным судьей, решение которого будет окончательным, за исключением ограниченного права на пересмотр в соответствии с законом FAA. </w:t>
      </w:r>
      <w:r w:rsidRPr="00A61F32">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w:t>
      </w:r>
      <w:r w:rsidR="00A61F32">
        <w:rPr>
          <w:b/>
          <w:sz w:val="20"/>
          <w:szCs w:val="20"/>
          <w:lang w:val="en-US"/>
        </w:rPr>
        <w:t> </w:t>
      </w:r>
      <w:r w:rsidRPr="00A61F32">
        <w:rPr>
          <w:b/>
          <w:sz w:val="20"/>
          <w:szCs w:val="20"/>
        </w:rPr>
        <w:t>роли представителя. Также запрещено объединять отдельные процессы без согласия всех сторон.</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Регулируются все споры, за исключением споров, касающихся прав интеллектуальной собственности.</w:t>
      </w:r>
      <w:r>
        <w:rPr>
          <w:b/>
          <w:bCs/>
          <w:sz w:val="20"/>
          <w:szCs w:val="20"/>
        </w:rPr>
        <w:t xml:space="preserve"> </w:t>
      </w:r>
      <w:r>
        <w:rPr>
          <w:bCs/>
          <w:sz w:val="20"/>
          <w:szCs w:val="20"/>
        </w:rPr>
        <w:t>Термин</w:t>
      </w:r>
      <w:r>
        <w:rPr>
          <w:sz w:val="20"/>
          <w:szCs w:val="20"/>
        </w:rPr>
        <w:t xml:space="preserve">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szCs w:val="20"/>
        </w:rPr>
        <w:t xml:space="preserve"> или вами и Microsoft касательно программного обеспечения, его цены, </w:t>
      </w:r>
      <w:r>
        <w:rPr>
          <w:sz w:val="20"/>
          <w:szCs w:val="20"/>
        </w:rPr>
        <w:lastRenderedPageBreak/>
        <w:t xml:space="preserve">рекламы, маркетинга, полученной информации или операции приобретения, выставления счетов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szCs w:val="20"/>
        </w:rPr>
        <w:t>за исключением споров, связанных с осуществлением или действительностью прав интеллектуальной собственности, принадлежащих вам, вашим лицензиарам, Microsoft или лицензиарам Microsoft.</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Сначала</w:t>
      </w:r>
      <w:r>
        <w:rPr>
          <w:sz w:val="20"/>
          <w:szCs w:val="20"/>
        </w:rPr>
        <w:t xml:space="preserve"> </w:t>
      </w:r>
      <w:r>
        <w:rPr>
          <w:b/>
          <w:sz w:val="20"/>
          <w:szCs w:val="20"/>
        </w:rPr>
        <w:t>необходимо отправить по почте Уведомление о споре.</w:t>
      </w:r>
      <w:r>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будет разрешен, через 60 дней вы или мы можем начать арбитражный процесс.</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Возможность использования суда мелких тяжб.</w:t>
      </w:r>
      <w:r>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14:paraId="35CDB44C" w14:textId="246F432C" w:rsidR="000936BD" w:rsidRPr="00D84034" w:rsidRDefault="00D95244" w:rsidP="009A7D95">
      <w:pPr>
        <w:pStyle w:val="ListParagraph"/>
        <w:numPr>
          <w:ilvl w:val="1"/>
          <w:numId w:val="12"/>
        </w:numPr>
        <w:tabs>
          <w:tab w:val="left" w:pos="720"/>
        </w:tabs>
        <w:spacing w:before="120" w:after="120"/>
        <w:ind w:left="720"/>
        <w:contextualSpacing w:val="0"/>
        <w:rPr>
          <w:spacing w:val="-1"/>
        </w:rPr>
      </w:pPr>
      <w:r w:rsidRPr="00D84034">
        <w:rPr>
          <w:b/>
          <w:spacing w:val="-1"/>
          <w:sz w:val="20"/>
          <w:szCs w:val="20"/>
        </w:rPr>
        <w:t xml:space="preserve">Процедура арбитража. </w:t>
      </w:r>
      <w:r w:rsidRPr="00D84034">
        <w:rPr>
          <w:spacing w:val="-1"/>
          <w:sz w:val="20"/>
          <w:szCs w:val="20"/>
        </w:rPr>
        <w:t>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см. на (</w:t>
      </w:r>
      <w:hyperlink r:id="rId14" w:history="1">
        <w:r w:rsidRPr="00D84034">
          <w:rPr>
            <w:rStyle w:val="Hyperlink"/>
            <w:spacing w:val="-1"/>
            <w:sz w:val="20"/>
            <w:szCs w:val="20"/>
          </w:rPr>
          <w:t>aka.ms/adr</w:t>
        </w:r>
      </w:hyperlink>
      <w:r w:rsidRPr="00D84034">
        <w:rPr>
          <w:spacing w:val="-1"/>
          <w:sz w:val="20"/>
          <w:szCs w:val="20"/>
        </w:rPr>
        <w:t>) или по телефону 1-800-778-7879. Чтобы начать арбитражный процесс, отправьте ААА форму, которая размещена на веб-странице (</w:t>
      </w:r>
      <w:hyperlink r:id="rId15" w:history="1">
        <w:r w:rsidRPr="00D84034">
          <w:rPr>
            <w:rStyle w:val="Hyperlink"/>
            <w:spacing w:val="-1"/>
            <w:sz w:val="20"/>
            <w:szCs w:val="20"/>
          </w:rPr>
          <w:t>aka.ms/arbitration</w:t>
        </w:r>
      </w:hyperlink>
      <w:r w:rsidRPr="00D84034">
        <w:rPr>
          <w:spacing w:val="-1"/>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 Арбитражный судья принимает решение о своей юрисдикции, включая вопрос возможности рассмотрения любого требования, согласно правилам AAA. Но полномочия обеспечить исполнение запрета на арбитражное рассмотрение на основании группового характера или на участие в арбитражном рассмотрении в качестве представителя имеет исключительно суд.</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Арбитражные сборы и вознаграждения</w:t>
      </w:r>
      <w:r>
        <w:rPr>
          <w:b/>
          <w:bCs/>
          <w:sz w:val="20"/>
          <w:szCs w:val="20"/>
        </w:rPr>
        <w:t>.</w:t>
      </w:r>
    </w:p>
    <w:p w14:paraId="140C6925" w14:textId="4E4E7D12" w:rsidR="00D95244" w:rsidRPr="00583E0B" w:rsidRDefault="00D95244" w:rsidP="008E1FA3">
      <w:pPr>
        <w:pStyle w:val="ListParagraph"/>
        <w:numPr>
          <w:ilvl w:val="2"/>
          <w:numId w:val="12"/>
        </w:numPr>
        <w:tabs>
          <w:tab w:val="left" w:pos="1080"/>
        </w:tabs>
        <w:spacing w:before="120" w:after="120"/>
        <w:ind w:left="1080" w:hanging="360"/>
        <w:contextualSpacing w:val="0"/>
      </w:pPr>
      <w:r>
        <w:rPr>
          <w:b/>
          <w:sz w:val="20"/>
          <w:szCs w:val="20"/>
        </w:rPr>
        <w:t>Споры на сумму до 75 000 долл. США</w:t>
      </w:r>
      <w:r>
        <w:rPr>
          <w:sz w:val="20"/>
          <w:szCs w:val="20"/>
        </w:rPr>
        <w:t>. Лицензиар обязуется немедленно компенсировать ваши регистрационные сборы, выплатить гонорары ААА и арбитрам, а</w:t>
      </w:r>
      <w:r w:rsidR="008E1FA3">
        <w:rPr>
          <w:sz w:val="20"/>
          <w:szCs w:val="20"/>
          <w:lang w:val="en-US"/>
        </w:rPr>
        <w:t> </w:t>
      </w:r>
      <w:r>
        <w:rPr>
          <w:sz w:val="20"/>
          <w:szCs w:val="20"/>
        </w:rPr>
        <w:t>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Споры стоимостью свыше 75 000 долл. США.</w:t>
      </w:r>
      <w:r>
        <w:rPr>
          <w:sz w:val="20"/>
          <w:szCs w:val="20"/>
        </w:rPr>
        <w:t xml:space="preserve"> Выплата заявочных пошлин и </w:t>
      </w:r>
      <w:r>
        <w:rPr>
          <w:sz w:val="20"/>
          <w:szCs w:val="20"/>
        </w:rPr>
        <w:lastRenderedPageBreak/>
        <w:t>вознаграждений ААА и арбитражного судьи, а также компенсация их расходов регулируется правилами ААА.</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Требование подачи в течение одного года.</w:t>
      </w:r>
      <w:r>
        <w:rPr>
          <w:bCs/>
          <w:sz w:val="20"/>
          <w:szCs w:val="20"/>
        </w:rPr>
        <w:t xml:space="preserve"> </w:t>
      </w:r>
      <w:r>
        <w:rPr>
          <w:sz w:val="20"/>
          <w:szCs w:val="20"/>
        </w:rPr>
        <w:t>Вы и лицензиар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пункт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Независимость положений соглашения</w:t>
      </w:r>
      <w:r>
        <w:rPr>
          <w:sz w:val="20"/>
          <w:szCs w:val="20"/>
        </w:rPr>
        <w:t>. Если какая-то часть статьи 8 (Обязательный арбитраж и отказ от группового иска) будет признана незаконной или не подлежащей судебной защите, остальная ее часть продолжает действовать (арбитражное решение должно быть получено до начала любого разбирательства в суде), но если признание частичной незаконности или недопустимости судебной защиты приведет к возможности арбитражного рассмотрения группового или представительного иска, статья 8 перестает подлежать судебной защите полностью.</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Коллизия с правилами AAA.</w:t>
      </w:r>
      <w:r>
        <w:rPr>
          <w:sz w:val="20"/>
          <w:szCs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как бенефициар-третье лицо.</w:t>
      </w:r>
      <w:r>
        <w:rPr>
          <w:sz w:val="20"/>
          <w:szCs w:val="20"/>
        </w:rPr>
        <w:t xml:space="preserve"> Microsoft не является стороной настоящего соглашения. Microsoft является бенефициаром-третьим лицом вашего соглашения с лицензиаром по вопросам разрешения споров путем неофициальных переговоров и арбитража.</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РЕГУЛИРУЮЩЕЕ ПРАВО.</w:t>
      </w:r>
      <w:r>
        <w:rPr>
          <w:bCs/>
          <w:sz w:val="20"/>
          <w:szCs w:val="20"/>
        </w:rPr>
        <w:t xml:space="preserve"> 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СЕТИ, ДАННЫЕ И ИСПОЛЬЗОВАНИЕ ИНТЕРНЕТА.</w:t>
      </w:r>
      <w:r>
        <w:rPr>
          <w:bCs/>
          <w:sz w:val="20"/>
          <w:szCs w:val="20"/>
        </w:rPr>
        <w:t xml:space="preserve"> Для некоторых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только если у вас есть на это разрешение.</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ВЕРСИИ С ОГРАНИЧЕННЫМИ ПРАВАМИ. </w:t>
      </w:r>
      <w:r>
        <w:rPr>
          <w:sz w:val="20"/>
          <w:szCs w:val="20"/>
        </w:rPr>
        <w:t>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lastRenderedPageBreak/>
        <w:t>Для учебных заведений.</w:t>
      </w:r>
      <w:r>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Для дома и учебы.</w:t>
      </w:r>
    </w:p>
    <w:p w14:paraId="2488DC2F" w14:textId="5D7BF12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военной оценки</w:t>
      </w:r>
      <w:r>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вооруженных сил Канады.</w:t>
      </w:r>
      <w:r>
        <w:rPr>
          <w:sz w:val="20"/>
          <w:szCs w:val="20"/>
        </w:rPr>
        <w:t xml:space="preserve"> </w:t>
      </w:r>
      <w:r>
        <w:rPr>
          <w:rFonts w:eastAsia="MS Mincho"/>
          <w:sz w:val="20"/>
          <w:szCs w:val="20"/>
        </w:rPr>
        <w:t>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14:paraId="5AFB05A4" w14:textId="6762D5F1" w:rsidR="00D974F1" w:rsidRPr="00583E0B" w:rsidRDefault="00D974F1" w:rsidP="009A7D95">
      <w:pPr>
        <w:numPr>
          <w:ilvl w:val="0"/>
          <w:numId w:val="2"/>
        </w:numPr>
        <w:spacing w:before="120" w:after="120"/>
      </w:pPr>
      <w:r>
        <w:rPr>
          <w:rFonts w:eastAsia="MS Mincho"/>
          <w:sz w:val="20"/>
          <w:szCs w:val="20"/>
        </w:rPr>
        <w:t>члены вооруженных сил (CAF) (регулярные вооруженные силы и резерв) и их семьи;</w:t>
      </w:r>
    </w:p>
    <w:p w14:paraId="6B143EA4" w14:textId="21B67F8E" w:rsidR="00D974F1" w:rsidRPr="00583E0B" w:rsidRDefault="00D974F1" w:rsidP="009A7D95">
      <w:pPr>
        <w:numPr>
          <w:ilvl w:val="0"/>
          <w:numId w:val="2"/>
        </w:numPr>
        <w:spacing w:before="120" w:after="120"/>
      </w:pPr>
      <w:r>
        <w:rPr>
          <w:rFonts w:eastAsia="MS Mincho"/>
          <w:sz w:val="20"/>
          <w:szCs w:val="20"/>
        </w:rPr>
        <w:t>ветераны (бывшие члены CAF) и их семьи, включая семьи погибших;</w:t>
      </w:r>
    </w:p>
    <w:p w14:paraId="02B40029" w14:textId="02F4EEA8" w:rsidR="00D974F1" w:rsidRPr="00583E0B" w:rsidRDefault="00D974F1" w:rsidP="009A7D95">
      <w:pPr>
        <w:numPr>
          <w:ilvl w:val="0"/>
          <w:numId w:val="2"/>
        </w:numPr>
        <w:spacing w:before="120" w:after="120"/>
      </w:pPr>
      <w:r>
        <w:rPr>
          <w:rFonts w:eastAsia="MS Mincho"/>
          <w:sz w:val="20"/>
          <w:szCs w:val="20"/>
        </w:rPr>
        <w:t>члены иностранных вооруженных сил, служащие в настоящее время в CAF, и их семьи;</w:t>
      </w:r>
    </w:p>
    <w:p w14:paraId="4E76CBA2" w14:textId="4FE8223C" w:rsidR="00D974F1" w:rsidRPr="00583E0B" w:rsidRDefault="00D974F1" w:rsidP="009A7D95">
      <w:pPr>
        <w:numPr>
          <w:ilvl w:val="0"/>
          <w:numId w:val="2"/>
        </w:numPr>
        <w:spacing w:before="120" w:after="120"/>
      </w:pPr>
      <w:r>
        <w:rPr>
          <w:rFonts w:eastAsia="MS Mincho"/>
          <w:sz w:val="20"/>
          <w:szCs w:val="20"/>
        </w:rPr>
        <w:t>действующий персонал Негосударственных фондов, Вооруженных сил Канады (NPF, CF);</w:t>
      </w:r>
    </w:p>
    <w:p w14:paraId="3E6EDC2C" w14:textId="4977429A" w:rsidR="00D974F1" w:rsidRPr="00583E0B" w:rsidRDefault="00D974F1" w:rsidP="009A7D95">
      <w:pPr>
        <w:numPr>
          <w:ilvl w:val="0"/>
          <w:numId w:val="2"/>
        </w:numPr>
        <w:spacing w:before="120" w:after="120"/>
      </w:pPr>
      <w:r>
        <w:rPr>
          <w:rFonts w:eastAsia="MS Mincho"/>
          <w:sz w:val="20"/>
          <w:szCs w:val="20"/>
        </w:rPr>
        <w:t>действующий персонал Центров ресурсов для семей военных (MFRC);</w:t>
      </w:r>
    </w:p>
    <w:p w14:paraId="3E01580E" w14:textId="7F42F292" w:rsidR="00D974F1" w:rsidRPr="00583E0B" w:rsidRDefault="00D974F1" w:rsidP="009A7D95">
      <w:pPr>
        <w:numPr>
          <w:ilvl w:val="0"/>
          <w:numId w:val="2"/>
        </w:numPr>
        <w:spacing w:before="120" w:after="120"/>
      </w:pPr>
      <w:r>
        <w:rPr>
          <w:rFonts w:eastAsia="MS Mincho"/>
          <w:sz w:val="20"/>
          <w:szCs w:val="20"/>
        </w:rPr>
        <w:t>действующие должностные лица Министерства национальной обороны (DND) и их семьи;</w:t>
      </w:r>
    </w:p>
    <w:p w14:paraId="549BE348" w14:textId="0A0E7F19" w:rsidR="00D974F1" w:rsidRPr="00583E0B" w:rsidRDefault="00D974F1" w:rsidP="009A7D95">
      <w:pPr>
        <w:numPr>
          <w:ilvl w:val="0"/>
          <w:numId w:val="2"/>
        </w:numPr>
        <w:spacing w:before="120" w:after="120"/>
      </w:pPr>
      <w:r>
        <w:rPr>
          <w:rFonts w:eastAsia="MS Mincho"/>
          <w:sz w:val="20"/>
          <w:szCs w:val="20"/>
        </w:rPr>
        <w:t>действующие и бывшие сотрудники Королевской канадской конной полиции (RCMP) и их семьи;</w:t>
      </w:r>
    </w:p>
    <w:p w14:paraId="7B6B24F5" w14:textId="3DDB61B6"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оборонных исследований и разработок Канады (DRDC) и их семьи;</w:t>
      </w:r>
    </w:p>
    <w:p w14:paraId="5875C91B" w14:textId="5609BFDA"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оборонного строительства Канады (DCC) и их семьи;</w:t>
      </w:r>
    </w:p>
    <w:p w14:paraId="39B1059F" w14:textId="00FBE509" w:rsidR="00D974F1" w:rsidRPr="00583E0B" w:rsidRDefault="00D974F1" w:rsidP="009A7D95">
      <w:pPr>
        <w:numPr>
          <w:ilvl w:val="0"/>
          <w:numId w:val="2"/>
        </w:numPr>
        <w:spacing w:before="120" w:after="120"/>
      </w:pPr>
      <w:r>
        <w:rPr>
          <w:rFonts w:eastAsia="MS Mincho"/>
          <w:sz w:val="20"/>
          <w:szCs w:val="20"/>
        </w:rPr>
        <w:t>почетные полковники/капитаны (N), подполковники/капитаны 2-го ранга и их семьи;</w:t>
      </w:r>
    </w:p>
    <w:p w14:paraId="5731856B" w14:textId="1DFAF557" w:rsidR="00D974F1" w:rsidRPr="00583E0B" w:rsidRDefault="00D974F1" w:rsidP="009A7D95">
      <w:pPr>
        <w:numPr>
          <w:ilvl w:val="0"/>
          <w:numId w:val="2"/>
        </w:numPr>
        <w:spacing w:before="120" w:after="120"/>
      </w:pPr>
      <w:r>
        <w:rPr>
          <w:rFonts w:eastAsia="MS Mincho"/>
          <w:sz w:val="20"/>
          <w:szCs w:val="20"/>
        </w:rPr>
        <w:t>члены семей сотрудников NPF, CF или</w:t>
      </w:r>
    </w:p>
    <w:p w14:paraId="53CCD432" w14:textId="42CF6170" w:rsidR="0089137A" w:rsidRPr="00583E0B" w:rsidRDefault="00D974F1" w:rsidP="009A7D95">
      <w:pPr>
        <w:numPr>
          <w:ilvl w:val="0"/>
          <w:numId w:val="2"/>
        </w:numPr>
        <w:spacing w:before="120" w:after="120"/>
      </w:pPr>
      <w:r>
        <w:rPr>
          <w:rFonts w:eastAsia="MS Mincho"/>
          <w:sz w:val="20"/>
          <w:szCs w:val="20"/>
        </w:rPr>
        <w:t>члены семей MFRC.</w:t>
      </w:r>
    </w:p>
    <w:p w14:paraId="664633F0" w14:textId="5AFC81DF" w:rsidR="001869A1" w:rsidRPr="001A49C5" w:rsidRDefault="00BC0CE2"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ПРАВА ПОТРЕБИТЕЛЯ, РЕГИОНАЛЬНЫЕ РАЗЛИЧИЯ. </w:t>
      </w:r>
      <w:r w:rsidRPr="001A49C5">
        <w:rPr>
          <w:bCs/>
          <w:spacing w:val="-2"/>
          <w:sz w:val="20"/>
          <w:szCs w:val="20"/>
        </w:rPr>
        <w:t>В настоящем соглашении описываются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Австралия. </w:t>
      </w:r>
      <w:r>
        <w:rPr>
          <w:bCs/>
          <w:sz w:val="20"/>
          <w:szCs w:val="20"/>
        </w:rPr>
        <w:t>Настоящая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потребителям, предусмотренными Законом Австралии о правах потребителей. Ничто в настоящем соглашении не ограничивает и не изменяет эти права и средства защиты прав.</w:t>
      </w:r>
    </w:p>
    <w:p w14:paraId="2E436D9B" w14:textId="1DF5CCE3" w:rsidR="001869A1" w:rsidRPr="00583E0B" w:rsidRDefault="00AE3DD3" w:rsidP="009A7D95">
      <w:pPr>
        <w:tabs>
          <w:tab w:val="left" w:pos="720"/>
        </w:tabs>
        <w:spacing w:before="120" w:after="120"/>
        <w:ind w:left="720"/>
      </w:pPr>
      <w:r>
        <w:rPr>
          <w:bCs/>
          <w:sz w:val="20"/>
          <w:szCs w:val="20"/>
        </w:rPr>
        <w:t>Подробнее о своих правах, предусмотренных Законом Австралии о правах потребителей, см. в документе, размещенном по адресу (</w:t>
      </w:r>
      <w:hyperlink r:id="rId16"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 xml:space="preserve">В этой статье термин «товары» относится к программному обеспечению, в отношении которого Microsoft предоставляет явную гарантию. На наши товары распространяются </w:t>
      </w:r>
      <w:r>
        <w:rPr>
          <w:bCs/>
          <w:sz w:val="20"/>
          <w:szCs w:val="20"/>
        </w:rPr>
        <w:lastRenderedPageBreak/>
        <w:t>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Канада. </w:t>
      </w:r>
      <w:r>
        <w:rPr>
          <w:bCs/>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Европейский союз. </w:t>
      </w:r>
      <w:r>
        <w:rPr>
          <w:bCs/>
          <w:sz w:val="20"/>
          <w:szCs w:val="20"/>
        </w:rPr>
        <w:t xml:space="preserve">Ограничения использования для учебных заведений, приведенные в статье </w:t>
      </w:r>
      <w:r>
        <w:rPr>
          <w:sz w:val="20"/>
          <w:szCs w:val="20"/>
        </w:rPr>
        <w:t>«Версии с ограниченными правами и для учебных заведений»</w:t>
      </w:r>
      <w:r>
        <w:rPr>
          <w:bCs/>
          <w:sz w:val="20"/>
          <w:szCs w:val="20"/>
        </w:rPr>
        <w:t xml:space="preserve"> выше, могут вас не </w:t>
      </w:r>
      <w:r>
        <w:rPr>
          <w:sz w:val="20"/>
          <w:szCs w:val="20"/>
        </w:rPr>
        <w:t xml:space="preserve">касаться. Ваши права на использование будут соответствовать </w:t>
      </w:r>
      <w:r>
        <w:rPr>
          <w:bCs/>
          <w:sz w:val="20"/>
          <w:szCs w:val="20"/>
        </w:rPr>
        <w:t xml:space="preserve">местному </w:t>
      </w:r>
      <w:r>
        <w:rPr>
          <w:sz w:val="20"/>
          <w:szCs w:val="20"/>
        </w:rPr>
        <w:t>законодательству, которое</w:t>
      </w:r>
      <w:r>
        <w:rPr>
          <w:bCs/>
          <w:sz w:val="20"/>
          <w:szCs w:val="20"/>
        </w:rPr>
        <w:t xml:space="preserve"> может </w:t>
      </w:r>
      <w:r>
        <w:rPr>
          <w:sz w:val="20"/>
          <w:szCs w:val="20"/>
        </w:rPr>
        <w:t>изменяться</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Германия и Австрия.</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Гарантия.</w:t>
      </w:r>
      <w:r>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Ограничение ответственности</w:t>
      </w:r>
      <w:r>
        <w:rPr>
          <w:sz w:val="20"/>
          <w:szCs w:val="20"/>
        </w:rPr>
        <w:t>.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14:paraId="4151E26A" w14:textId="3AD93642" w:rsidR="00623937" w:rsidRPr="00583E0B" w:rsidRDefault="001869A1" w:rsidP="009A7D95">
      <w:pPr>
        <w:tabs>
          <w:tab w:val="left" w:pos="1080"/>
        </w:tabs>
        <w:spacing w:before="120" w:after="120"/>
        <w:ind w:left="1080"/>
      </w:pPr>
      <w:r>
        <w:rPr>
          <w:sz w:val="20"/>
          <w:szCs w:val="20"/>
        </w:rPr>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ответственности за незначительную небрежность.</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Япония. </w:t>
      </w:r>
      <w:r>
        <w:rPr>
          <w:bCs/>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 вас есть следующие права: вы можете также установить и использовать вторую копию программного обеспечения на втором лицензированном устройстве для использования вами как лицензированным пользователем первого лицензированного устройства. Ограничения на коммерческое использование, приведенные в статье 12, не распространяются на использование вами программного обеспечения, если вы живете в Японии или приобрели ПО, проживая в Японии.</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ПРОГРАММА ИСПОЛЬЗОВАНИЯ ПРОГРАММНОГО ОБЕСПЕЧЕНИЯ НА ДОМАШНИХ КОМПЬЮТЕРАХ.</w:t>
      </w:r>
      <w:r>
        <w:rPr>
          <w:bCs/>
          <w:sz w:val="20"/>
          <w:szCs w:val="20"/>
        </w:rPr>
        <w:t xml:space="preserve"> Чтобы пользоваться программным обеспечением с маркировкой «Программа использования ПО на домашних компьютерах», необходимо быть «Пользователем по программе использования ПО на домашних компьютерах». Чтобы быть Пользователем по программе использования ПО на домашних компьютерах, необходимо одновременно являться:</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сотрудником организации, заключившей Корпоративное лицензионное соглашение с Microsoft с действующей поддержкой по программе Software Assurance, или которое прежде было обеспечено действующей поддержкой по программе Software Assurance, и отвечать определенным иным требованиям, а также</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 xml:space="preserve">пользователем копии программного обеспечения или продукта, содержащего программное </w:t>
      </w:r>
      <w:r>
        <w:rPr>
          <w:bCs/>
          <w:sz w:val="20"/>
          <w:szCs w:val="20"/>
        </w:rPr>
        <w:lastRenderedPageBreak/>
        <w:t>обеспечение, лицензия на которое предоставлено сотруднику в рамках Корпоративного лицензионного соглашения.</w:t>
      </w:r>
    </w:p>
    <w:p w14:paraId="078E6BD3" w14:textId="52F30673" w:rsidR="009729BB" w:rsidRPr="00583E0B" w:rsidRDefault="00A239A3" w:rsidP="009A7D95">
      <w:pPr>
        <w:tabs>
          <w:tab w:val="left" w:pos="360"/>
        </w:tabs>
        <w:spacing w:before="120" w:after="120"/>
        <w:ind w:left="360"/>
      </w:pPr>
      <w:r>
        <w:rPr>
          <w:bCs/>
          <w:sz w:val="20"/>
          <w:szCs w:val="20"/>
        </w:rPr>
        <w:t>При возникновении вопросов о том, отвечаете ли вы требованиям, установленным для Пользователей по программе использования ПО на домашних компьютерах, обратитесь к своему работодателю.</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ЯЗЫКОВЫЕ ПАКЕТЫ И СРЕДСТВА ПРОВЕРКИ. </w:t>
      </w:r>
      <w:r>
        <w:rPr>
          <w:bCs/>
          <w:sz w:val="20"/>
          <w:szCs w:val="20"/>
        </w:rPr>
        <w:t>Если вы приобрели языковой пакет или средство проверки правописания,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и средства проверки правописания входят в состав программного обеспечения и не могут использоваться отдельно.</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СОХРАНЕНИЕ ПРАВ И ОТЗЫВЫ.</w:t>
      </w:r>
      <w:r>
        <w:rPr>
          <w:bCs/>
          <w:sz w:val="20"/>
          <w:szCs w:val="20"/>
        </w:rPr>
        <w:t xml:space="preserve"> Если иное явно не предусмотрено настоящим соглашением, лицензиар и Microsoft не предоставляют вам никаких лицензий или иных прав любого характера по условиям каких-либо патентов на использование ноу-хау, авторских прав, коммерческих тайн, товарных знаков или иной интеллектуальной собственности, которая принадлежит Microsoft или контролируются ею либо любым связанным субъектом, включая среди прочего любое наименование, фирменный стиль, эмблему или аналогичные элементы. При направлении Microsoft идей, предложений, рекомендаций или отзывов, в том числе включая идеи касательно новых продуктов, технологий, рекламных акций, наименований продуктов, усовершенствования продуктов и отзывы о продуктах (далее — «Отзывы»), вы предоставляете Microsoft на безвозмездной основе и без иных обязательств перед вами право на изготовление и создание производных продуктов, использование, распространение либо коммерческое применение ваших Отзывов любым способом и в любых целях. Вы обязуетесь не предоставлять корпорации Microsoft никаких Отзывов, подпадающих под действие лицензии, согласно которой Microsoft обязана будет предоставить третьим лицам лицензию на использование своего программного обеспечения, технологий или документации на том основании, что Microsoft включила ваш Отзыв в это программное обеспечение, технологии либо документацию.</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ПОЛНОЕ СОГЛАШЕНИЕ.</w:t>
      </w:r>
      <w:r>
        <w:rPr>
          <w:bCs/>
          <w:sz w:val="20"/>
          <w:szCs w:val="20"/>
        </w:rPr>
        <w:t xml:space="preserve"> 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лицензиаром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лицензиар или Microsoft предоставят другие условия с такими дополнениями, обновлениями и услугами. Вы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Заявление Майкрософт о конфиденциальности (</w:t>
      </w:r>
      <w:hyperlink r:id="rId17"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Соглашение об использовании служб Microsoft (</w:t>
      </w:r>
      <w:hyperlink r:id="rId18"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w:t>
      </w:r>
      <w:r>
        <w:rPr>
          <w:b/>
          <w:sz w:val="20"/>
          <w:szCs w:val="20"/>
        </w:rPr>
        <w:lastRenderedPageBreak/>
        <w:t>ИСПОЛЬЗОВАНИЯ.</w:t>
      </w:r>
    </w:p>
    <w:p w14:paraId="0E69F4CE" w14:textId="6754AA4A"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11E13BDC" w14:textId="790FF4C0"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133479B2" w14:textId="3A7427B1" w:rsidR="0039417B" w:rsidRPr="00583E0B" w:rsidRDefault="003E7E64" w:rsidP="009A7D95">
      <w:pPr>
        <w:spacing w:before="120" w:after="120"/>
      </w:pPr>
      <w:r>
        <w:rPr>
          <w:bCs/>
          <w:sz w:val="20"/>
          <w:szCs w:val="20"/>
        </w:rPr>
        <w:t xml:space="preserve">Microsoft и </w:t>
      </w:r>
      <w:r w:rsidR="00A46E49">
        <w:rPr>
          <w:bCs/>
          <w:sz w:val="20"/>
          <w:szCs w:val="20"/>
          <w:lang w:val="en-US"/>
        </w:rPr>
        <w:t>Access</w:t>
      </w:r>
      <w:r>
        <w:rPr>
          <w:bCs/>
          <w:sz w:val="20"/>
          <w:szCs w:val="20"/>
        </w:rPr>
        <w:t xml:space="preserve"> являются охраняемыми товарными знаками корпорации Microsoft в Соединенных Штатах Америки и других странах.</w:t>
      </w:r>
    </w:p>
    <w:sectPr w:rsidR="0039417B" w:rsidRPr="00583E0B" w:rsidSect="00D93C4E">
      <w:footerReference w:type="default" r:id="rId19"/>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8315FB" w14:textId="77777777" w:rsidR="002138B9" w:rsidRDefault="002138B9" w:rsidP="00FD75BC">
      <w:r>
        <w:separator/>
      </w:r>
    </w:p>
  </w:endnote>
  <w:endnote w:type="continuationSeparator" w:id="0">
    <w:p w14:paraId="6BD92522" w14:textId="77777777" w:rsidR="002138B9" w:rsidRDefault="002138B9" w:rsidP="00FD75BC">
      <w:r>
        <w:continuationSeparator/>
      </w:r>
    </w:p>
  </w:endnote>
  <w:endnote w:type="continuationNotice" w:id="1">
    <w:p w14:paraId="34C40FFF" w14:textId="77777777" w:rsidR="002138B9" w:rsidRDefault="002138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888"/>
      <w:gridCol w:w="4688"/>
    </w:tblGrid>
    <w:tr w:rsidR="00D93C4E" w:rsidRPr="00F46C7E" w14:paraId="13654D9F" w14:textId="77777777" w:rsidTr="00AC70F0">
      <w:tc>
        <w:tcPr>
          <w:tcW w:w="5328" w:type="dxa"/>
        </w:tcPr>
        <w:p w14:paraId="50CBBAC8" w14:textId="77777777" w:rsidR="00D93C4E" w:rsidRPr="00F46C7E" w:rsidRDefault="00D93C4E" w:rsidP="00D93C4E">
          <w:pPr>
            <w:tabs>
              <w:tab w:val="center" w:pos="4680"/>
              <w:tab w:val="right" w:pos="9360"/>
            </w:tabs>
            <w:rPr>
              <w:sz w:val="16"/>
              <w:szCs w:val="16"/>
            </w:rPr>
          </w:pPr>
          <w:r w:rsidRPr="00F46C7E">
            <w:rPr>
              <w:sz w:val="16"/>
              <w:szCs w:val="16"/>
            </w:rPr>
            <w:t>Лицензионное соглашение с независимым поставщиком программного обеспечения (ISV) о платном лицензировании</w:t>
          </w:r>
        </w:p>
        <w:p w14:paraId="32C97D26" w14:textId="627979E6" w:rsidR="00D93C4E" w:rsidRPr="00F46C7E" w:rsidRDefault="00A46E49" w:rsidP="00D93C4E">
          <w:pPr>
            <w:tabs>
              <w:tab w:val="center" w:pos="4680"/>
              <w:tab w:val="right" w:pos="9360"/>
            </w:tabs>
            <w:rPr>
              <w:sz w:val="16"/>
              <w:szCs w:val="16"/>
            </w:rPr>
          </w:pPr>
          <w:r>
            <w:rPr>
              <w:sz w:val="16"/>
              <w:szCs w:val="16"/>
              <w:lang w:val="en-US"/>
            </w:rPr>
            <w:t>Access</w:t>
          </w:r>
          <w:r w:rsidR="00100099" w:rsidRPr="00F46C7E">
            <w:rPr>
              <w:sz w:val="16"/>
              <w:szCs w:val="16"/>
            </w:rPr>
            <w:t xml:space="preserve"> (1 октября 20</w:t>
          </w:r>
          <w:r w:rsidR="009A7FF1">
            <w:rPr>
              <w:sz w:val="16"/>
              <w:szCs w:val="16"/>
              <w:lang w:val="en-US"/>
            </w:rPr>
            <w:t>21</w:t>
          </w:r>
          <w:r w:rsidR="00100099" w:rsidRPr="00F46C7E">
            <w:rPr>
              <w:sz w:val="16"/>
              <w:szCs w:val="16"/>
            </w:rPr>
            <w:t xml:space="preserve"> г.)</w:t>
          </w:r>
        </w:p>
      </w:tc>
      <w:tc>
        <w:tcPr>
          <w:tcW w:w="5220" w:type="dxa"/>
        </w:tcPr>
        <w:p w14:paraId="76D2E342" w14:textId="77777777" w:rsidR="00D93C4E" w:rsidRPr="00F46C7E" w:rsidRDefault="00D93C4E" w:rsidP="00D93C4E">
          <w:pPr>
            <w:tabs>
              <w:tab w:val="center" w:pos="4680"/>
              <w:tab w:val="right" w:pos="9360"/>
            </w:tabs>
            <w:jc w:val="right"/>
            <w:rPr>
              <w:sz w:val="16"/>
              <w:szCs w:val="16"/>
            </w:rPr>
          </w:pPr>
          <w:r w:rsidRPr="00F46C7E">
            <w:rPr>
              <w:sz w:val="16"/>
              <w:szCs w:val="16"/>
            </w:rPr>
            <w:t xml:space="preserve">Стр. </w:t>
          </w:r>
          <w:r w:rsidRPr="00F46C7E">
            <w:rPr>
              <w:sz w:val="16"/>
              <w:szCs w:val="16"/>
            </w:rPr>
            <w:fldChar w:fldCharType="begin"/>
          </w:r>
          <w:r w:rsidRPr="00F46C7E">
            <w:rPr>
              <w:sz w:val="16"/>
              <w:szCs w:val="16"/>
            </w:rPr>
            <w:instrText xml:space="preserve"> PAGE </w:instrText>
          </w:r>
          <w:r w:rsidRPr="00F46C7E">
            <w:rPr>
              <w:sz w:val="16"/>
              <w:szCs w:val="16"/>
            </w:rPr>
            <w:fldChar w:fldCharType="separate"/>
          </w:r>
          <w:r w:rsidR="00A26F2B">
            <w:rPr>
              <w:noProof/>
              <w:sz w:val="16"/>
              <w:szCs w:val="16"/>
            </w:rPr>
            <w:t>1</w:t>
          </w:r>
          <w:r w:rsidRPr="00F46C7E">
            <w:rPr>
              <w:sz w:val="16"/>
              <w:szCs w:val="16"/>
            </w:rPr>
            <w:fldChar w:fldCharType="end"/>
          </w:r>
          <w:r w:rsidRPr="00F46C7E">
            <w:rPr>
              <w:sz w:val="16"/>
              <w:szCs w:val="16"/>
            </w:rPr>
            <w:t xml:space="preserve"> из </w:t>
          </w:r>
          <w:r w:rsidRPr="00F46C7E">
            <w:rPr>
              <w:sz w:val="16"/>
              <w:szCs w:val="16"/>
            </w:rPr>
            <w:fldChar w:fldCharType="begin"/>
          </w:r>
          <w:r w:rsidRPr="00F46C7E">
            <w:rPr>
              <w:sz w:val="16"/>
              <w:szCs w:val="16"/>
            </w:rPr>
            <w:instrText xml:space="preserve"> NUMPAGES </w:instrText>
          </w:r>
          <w:r w:rsidRPr="00F46C7E">
            <w:rPr>
              <w:sz w:val="16"/>
              <w:szCs w:val="16"/>
            </w:rPr>
            <w:fldChar w:fldCharType="separate"/>
          </w:r>
          <w:r w:rsidR="00A26F2B">
            <w:rPr>
              <w:noProof/>
              <w:sz w:val="16"/>
              <w:szCs w:val="16"/>
            </w:rPr>
            <w:t>11</w:t>
          </w:r>
          <w:r w:rsidRPr="00F46C7E">
            <w:rPr>
              <w:sz w:val="16"/>
              <w:szCs w:val="16"/>
            </w:rPr>
            <w:fldChar w:fldCharType="end"/>
          </w:r>
        </w:p>
      </w:tc>
    </w:tr>
  </w:tbl>
  <w:p w14:paraId="305F7CF1" w14:textId="77777777" w:rsidR="00D93C4E" w:rsidRPr="00F46C7E" w:rsidRDefault="00D93C4E" w:rsidP="00D93C4E">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A62CB" w14:textId="77777777" w:rsidR="002138B9" w:rsidRDefault="002138B9" w:rsidP="00FD75BC">
      <w:r>
        <w:separator/>
      </w:r>
    </w:p>
  </w:footnote>
  <w:footnote w:type="continuationSeparator" w:id="0">
    <w:p w14:paraId="4F7267FE" w14:textId="77777777" w:rsidR="002138B9" w:rsidRDefault="002138B9" w:rsidP="00FD75BC">
      <w:r>
        <w:continuationSeparator/>
      </w:r>
    </w:p>
  </w:footnote>
  <w:footnote w:type="continuationNotice" w:id="1">
    <w:p w14:paraId="3EB0AE10" w14:textId="77777777" w:rsidR="002138B9" w:rsidRDefault="002138B9"/>
  </w:footnote>
  <w:footnote w:id="2">
    <w:p w14:paraId="4F55E062" w14:textId="5ACA0451"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w:t>
      </w:r>
      <w:r w:rsidR="009A7FF1">
        <w:rPr>
          <w:rFonts w:cs="Tahoma"/>
          <w:b/>
          <w:lang w:val="en-US"/>
        </w:rPr>
        <w:t>LTSC 2021</w:t>
      </w:r>
      <w:r w:rsidRPr="001A49C5">
        <w:rPr>
          <w:rFonts w:cs="Tahoma"/>
          <w:b/>
        </w:rPr>
        <w:t>, то наименование продукта будет следующим: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w:t>
      </w:r>
      <w:r w:rsidR="009A7FF1">
        <w:rPr>
          <w:rFonts w:cs="Tahoma"/>
          <w:b/>
          <w:lang w:val="en-US"/>
        </w:rPr>
        <w:t xml:space="preserve">LTSC </w:t>
      </w:r>
      <w:r w:rsidRPr="001A49C5">
        <w:rPr>
          <w:rFonts w:cs="Tahoma"/>
          <w:b/>
        </w:rPr>
        <w:t>стандартный 20</w:t>
      </w:r>
      <w:r w:rsidR="009A7FF1">
        <w:rPr>
          <w:rFonts w:cs="Tahoma"/>
          <w:b/>
          <w:lang w:val="en-US"/>
        </w:rPr>
        <w:t>21</w:t>
      </w:r>
      <w:r w:rsidRPr="001A49C5">
        <w:rPr>
          <w:rFonts w:cs="Tahoma"/>
          <w:b/>
        </w:rPr>
        <w:t>.</w:t>
      </w:r>
    </w:p>
  </w:footnote>
  <w:footnote w:id="3">
    <w:p w14:paraId="760203ED" w14:textId="0E260150"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Для лицензионного программного обеспечения для учебных заведений («Academic Edition») укажите название, например: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w:t>
      </w:r>
      <w:r w:rsidR="009A7FF1">
        <w:rPr>
          <w:rFonts w:cs="Tahoma"/>
          <w:b/>
          <w:lang w:val="en-US"/>
        </w:rPr>
        <w:t xml:space="preserve">LTSC </w:t>
      </w:r>
      <w:r w:rsidRPr="001A49C5">
        <w:rPr>
          <w:rFonts w:cs="Tahoma"/>
          <w:b/>
        </w:rPr>
        <w:t>стандартный 20</w:t>
      </w:r>
      <w:r w:rsidR="009A7FF1">
        <w:rPr>
          <w:rFonts w:cs="Tahoma"/>
          <w:b/>
          <w:lang w:val="en-US"/>
        </w:rPr>
        <w:t>21</w:t>
      </w:r>
      <w:r w:rsidRPr="001A49C5">
        <w:rPr>
          <w:rFonts w:cs="Tahoma"/>
          <w:b/>
        </w:rPr>
        <w:t>, Academic Edition.</w:t>
      </w:r>
    </w:p>
  </w:footnote>
  <w:footnote w:id="4">
    <w:p w14:paraId="22D9AE02" w14:textId="2CC07085" w:rsidR="001A49C5" w:rsidRPr="001E6FD1" w:rsidRDefault="001A49C5" w:rsidP="001A49C5">
      <w:pPr>
        <w:pStyle w:val="Footnote"/>
        <w:spacing w:after="120"/>
        <w:rPr>
          <w:rFonts w:cs="Tahoma"/>
        </w:rPr>
      </w:pPr>
      <w:r w:rsidRPr="001E6FD1">
        <w:rPr>
          <w:rFonts w:cs="Tahoma"/>
          <w:b/>
          <w:vertAlign w:val="superscript"/>
        </w:rPr>
        <w:footnoteRef/>
      </w:r>
      <w:r w:rsidRPr="001E6FD1">
        <w:rPr>
          <w:rFonts w:cs="Tahoma"/>
          <w:b/>
        </w:rPr>
        <w:t xml:space="preserve"> </w:t>
      </w:r>
      <w:r w:rsidRPr="001A49C5">
        <w:rPr>
          <w:rFonts w:cs="Tahoma"/>
          <w:b/>
        </w:rPr>
        <w:t xml:space="preserve">ЛИЦЕНЗИАР: </w:t>
      </w:r>
      <w:r w:rsidRPr="001A49C5">
        <w:rPr>
          <w:rFonts w:cs="Tahoma"/>
          <w:b/>
        </w:rPr>
        <w:t>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3BE7C16"/>
    <w:lvl w:ilvl="0" w:tplc="DAA464A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280ADF0"/>
    <w:lvl w:ilvl="0" w:tplc="2CA66844">
      <w:start w:val="1"/>
      <w:numFmt w:val="decimal"/>
      <w:lvlText w:val="%1."/>
      <w:lvlJc w:val="left"/>
      <w:pPr>
        <w:ind w:left="720" w:hanging="360"/>
      </w:pPr>
      <w:rPr>
        <w:rFonts w:hint="default"/>
        <w:b/>
        <w:sz w:val="20"/>
        <w:szCs w:val="20"/>
      </w:rPr>
    </w:lvl>
    <w:lvl w:ilvl="1" w:tplc="BABC4E98">
      <w:start w:val="1"/>
      <w:numFmt w:val="lowerLetter"/>
      <w:lvlText w:val="%2."/>
      <w:lvlJc w:val="left"/>
      <w:pPr>
        <w:ind w:left="1440" w:hanging="360"/>
      </w:pPr>
      <w:rPr>
        <w:rFonts w:hint="default"/>
        <w:b/>
        <w:sz w:val="20"/>
        <w:szCs w:val="20"/>
      </w:rPr>
    </w:lvl>
    <w:lvl w:ilvl="2" w:tplc="4E52F09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49C5"/>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8B9"/>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3D60"/>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1FA3"/>
    <w:rsid w:val="008E2464"/>
    <w:rsid w:val="008E4178"/>
    <w:rsid w:val="008E5B2F"/>
    <w:rsid w:val="008E5C5A"/>
    <w:rsid w:val="008E628D"/>
    <w:rsid w:val="008E7BBF"/>
    <w:rsid w:val="008E7D44"/>
    <w:rsid w:val="008F1A81"/>
    <w:rsid w:val="008F1D19"/>
    <w:rsid w:val="008F1EFD"/>
    <w:rsid w:val="008F2384"/>
    <w:rsid w:val="008F5F6B"/>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A7FF1"/>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6F2B"/>
    <w:rsid w:val="00A30880"/>
    <w:rsid w:val="00A31847"/>
    <w:rsid w:val="00A31AF9"/>
    <w:rsid w:val="00A31C1F"/>
    <w:rsid w:val="00A34211"/>
    <w:rsid w:val="00A35E83"/>
    <w:rsid w:val="00A446B2"/>
    <w:rsid w:val="00A46E49"/>
    <w:rsid w:val="00A47872"/>
    <w:rsid w:val="00A534B5"/>
    <w:rsid w:val="00A546E6"/>
    <w:rsid w:val="00A57127"/>
    <w:rsid w:val="00A612C4"/>
    <w:rsid w:val="00A61A6C"/>
    <w:rsid w:val="00A61F32"/>
    <w:rsid w:val="00A62375"/>
    <w:rsid w:val="00A654BA"/>
    <w:rsid w:val="00A678A0"/>
    <w:rsid w:val="00A7000F"/>
    <w:rsid w:val="00A7119A"/>
    <w:rsid w:val="00A7430A"/>
    <w:rsid w:val="00A75C62"/>
    <w:rsid w:val="00A7712C"/>
    <w:rsid w:val="00A771D0"/>
    <w:rsid w:val="00A81A11"/>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14B3"/>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1415"/>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84034"/>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15E0"/>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0BA0"/>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34D7"/>
    <w:rsid w:val="00F268AF"/>
    <w:rsid w:val="00F301FF"/>
    <w:rsid w:val="00F31DED"/>
    <w:rsid w:val="00F332BC"/>
    <w:rsid w:val="00F33F40"/>
    <w:rsid w:val="00F40EDE"/>
    <w:rsid w:val="00F42D18"/>
    <w:rsid w:val="00F44411"/>
    <w:rsid w:val="00F44890"/>
    <w:rsid w:val="00F46C7E"/>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DFC5BE39-10A6-437C-933A-8F9E488E5D2C}"/>
  <w:documentProtection w:edit="forms" w:enforcement="true" w:cryptProviderType="rsaFull" w:cryptAlgorithmClass="hash" w:cryptAlgorithmType="typeAny" w:cryptAlgorithmSid="4" w:cryptSpinCount="50000" w:hash="F1ds72D9eyoSfb2q4aopTvkT2Xs=" w:salt="wHxhuNXDxoZFbHCoBwsZ/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ru-RU" w:eastAsia="ru-RU" w:bidi="ru-RU"/>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5" Type="http://schemas.openxmlformats.org/officeDocument/2006/relationships/numbering" Target="numbering.xml"/><Relationship Id="rId15" Type="http://schemas.openxmlformats.org/officeDocument/2006/relationships/hyperlink" Target="https://aka.ms/arbitration"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6DB67EB-78BD-4D50-B57E-8F807C5E86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63F20C-B05B-41B0-B19B-E1A002DBB8C2}">
  <ds:schemaRefs>
    <ds:schemaRef ds:uri="http://schemas.openxmlformats.org/officeDocument/2006/bibliography"/>
  </ds:schemaRefs>
</ds:datastoreItem>
</file>

<file path=customXml/itemProps3.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4.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1639</TotalTime>
  <Pages>11</Pages>
  <Words>5368</Words>
  <Characters>30601</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Elizabeth Brownell (MURPHY &amp; ASSOCIATES INC)</cp:lastModifiedBy>
  <cp:revision>3</cp:revision>
  <cp:lastPrinted>2018-09-18T13:18:00Z</cp:lastPrinted>
  <dcterms:created xsi:type="dcterms:W3CDTF">2018-09-21T21:40:00Z</dcterms:created>
  <dcterms:modified xsi:type="dcterms:W3CDTF">2021-10-05T19:03:00Z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ies>
</file>